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460" w:type="dxa"/>
        <w:tblLook w:val="04A0" w:firstRow="1" w:lastRow="0" w:firstColumn="1" w:lastColumn="0" w:noHBand="0" w:noVBand="1"/>
      </w:tblPr>
      <w:tblGrid>
        <w:gridCol w:w="1190"/>
        <w:gridCol w:w="6270"/>
      </w:tblGrid>
      <w:tr w:rsidR="00C83AFE" w:rsidRPr="00C83AFE" w14:paraId="5D5C875D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9F941" w14:textId="77777777" w:rsidR="00C83AFE" w:rsidRPr="00C83AFE" w:rsidRDefault="00C83AFE" w:rsidP="00C8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7BD9BA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Lesson Plan</w:t>
            </w:r>
          </w:p>
        </w:tc>
      </w:tr>
      <w:tr w:rsidR="00C83AFE" w:rsidRPr="00C83AFE" w14:paraId="0EC39898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1EFF9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00098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Sub-Finance Management</w:t>
            </w:r>
          </w:p>
        </w:tc>
      </w:tr>
      <w:tr w:rsidR="00C83AFE" w:rsidRPr="00C83AFE" w14:paraId="7480B1FB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1BCBD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725702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AY 2022-23</w:t>
            </w:r>
          </w:p>
        </w:tc>
      </w:tr>
      <w:tr w:rsidR="00C83AFE" w:rsidRPr="00C83AFE" w14:paraId="7BA60F68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8CFC1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 xml:space="preserve">Planned </w:t>
            </w:r>
            <w:proofErr w:type="spellStart"/>
            <w:r w:rsidRPr="00C83AFE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Hrs</w:t>
            </w:r>
            <w:proofErr w:type="spellEnd"/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86C7A7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b/>
                <w:bCs/>
                <w:color w:val="000000"/>
                <w:szCs w:val="22"/>
              </w:rPr>
              <w:t>Topic</w:t>
            </w:r>
          </w:p>
        </w:tc>
      </w:tr>
      <w:tr w:rsidR="00C83AFE" w:rsidRPr="00C83AFE" w14:paraId="31C908F9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9FC66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49306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Introduction</w:t>
            </w:r>
          </w:p>
        </w:tc>
      </w:tr>
      <w:tr w:rsidR="00C83AFE" w:rsidRPr="00C83AFE" w14:paraId="302C4564" w14:textId="77777777" w:rsidTr="00C83AFE">
        <w:trPr>
          <w:trHeight w:val="58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A105A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0202A4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Overview of Indian Financial System: Characteristics, Components and Functions of Financial System. </w:t>
            </w:r>
          </w:p>
        </w:tc>
      </w:tr>
      <w:tr w:rsidR="00C83AFE" w:rsidRPr="00C83AFE" w14:paraId="6E43E9CB" w14:textId="77777777" w:rsidTr="00C83AFE">
        <w:trPr>
          <w:trHeight w:val="58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ED1D0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73F327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Financial Instruments: Meaning, Characteristics and Classification of Basic Financial Instruments — Equity Shares, Preference Shares, </w:t>
            </w:r>
          </w:p>
        </w:tc>
      </w:tr>
      <w:tr w:rsidR="00C83AFE" w:rsidRPr="00C83AFE" w14:paraId="4F2FEF59" w14:textId="77777777" w:rsidTr="00C83AFE">
        <w:trPr>
          <w:trHeight w:val="58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D0DA7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B191B6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Bonds-Debentures, Certificates of Deposit, and Treasury Bills. Financial Markets: Meaning, Characteristics and Classification of Financial Markets </w:t>
            </w:r>
          </w:p>
        </w:tc>
      </w:tr>
      <w:tr w:rsidR="00C83AFE" w:rsidRPr="00C83AFE" w14:paraId="6A8B4562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E0976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BDF5CB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Capital Market, Money Market and Foreign Currency Market Financial Institutions: </w:t>
            </w:r>
          </w:p>
        </w:tc>
      </w:tr>
      <w:tr w:rsidR="00C83AFE" w:rsidRPr="00C83AFE" w14:paraId="3AE7C95C" w14:textId="77777777" w:rsidTr="00C83AFE">
        <w:trPr>
          <w:trHeight w:val="58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F1BC3B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F1867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Meaning, Characteristics and Classification of Financial Institutions — Commercial Banks, Investment-Merchant Banks and Stock</w:t>
            </w:r>
          </w:p>
        </w:tc>
      </w:tr>
      <w:tr w:rsidR="00C83AFE" w:rsidRPr="00C83AFE" w14:paraId="42B51AA0" w14:textId="77777777" w:rsidTr="00C83AFE">
        <w:trPr>
          <w:trHeight w:val="87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4B320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F8B142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Concepts of Returns and Risks: Measurement of Historical Returns and Expected Returns of a Single Security and a Two-security Portfolio; </w:t>
            </w:r>
          </w:p>
        </w:tc>
      </w:tr>
      <w:tr w:rsidR="00C83AFE" w:rsidRPr="00C83AFE" w14:paraId="0252D478" w14:textId="77777777" w:rsidTr="00C83AFE">
        <w:trPr>
          <w:trHeight w:val="58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B4A50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EE9EE6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Measurement of Historical Risk and Expected Risk of a Single Security and a Two-security Portfolio. </w:t>
            </w:r>
          </w:p>
        </w:tc>
      </w:tr>
      <w:tr w:rsidR="00C83AFE" w:rsidRPr="00C83AFE" w14:paraId="64FA5E3F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DBD2F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3F99C2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Time Value of Money: Future Value of a Lump Sum, </w:t>
            </w:r>
          </w:p>
        </w:tc>
      </w:tr>
      <w:tr w:rsidR="00C83AFE" w:rsidRPr="00C83AFE" w14:paraId="5E596B5C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FE8E9F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24DA5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Ordinary Annuity, and Annuity Due; </w:t>
            </w:r>
          </w:p>
        </w:tc>
      </w:tr>
      <w:tr w:rsidR="00C83AFE" w:rsidRPr="00C83AFE" w14:paraId="4DCD8112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8A002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9F42AB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Present Value of a Lump Sum, Ordinary Annuity, and Annuity Due; </w:t>
            </w:r>
          </w:p>
        </w:tc>
      </w:tr>
      <w:tr w:rsidR="00C83AFE" w:rsidRPr="00C83AFE" w14:paraId="3AB582E4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D7F68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6D99E3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Continuous Compounding and Continuous Discounting.</w:t>
            </w:r>
          </w:p>
        </w:tc>
      </w:tr>
      <w:tr w:rsidR="00C83AFE" w:rsidRPr="00C83AFE" w14:paraId="1D18964D" w14:textId="77777777" w:rsidTr="00C83AFE">
        <w:trPr>
          <w:trHeight w:val="58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6B2E1B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B461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Overview of Corporate Finance: Objectives of Corporate Finance; Functions of Corporate Finance</w:t>
            </w:r>
          </w:p>
        </w:tc>
      </w:tr>
      <w:tr w:rsidR="00C83AFE" w:rsidRPr="00C83AFE" w14:paraId="659CCAFD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AD021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F58C1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Investment Decision, Financing Decision, and Dividend Decision.</w:t>
            </w:r>
          </w:p>
        </w:tc>
      </w:tr>
      <w:tr w:rsidR="00C83AFE" w:rsidRPr="00C83AFE" w14:paraId="72E47E89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2434E2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0DAE4C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 Financial Ratio Analysis: Overview of Financial Statements—Balance Sheet, </w:t>
            </w:r>
          </w:p>
        </w:tc>
      </w:tr>
      <w:tr w:rsidR="00C83AFE" w:rsidRPr="00C83AFE" w14:paraId="02C2729A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7414F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F15122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Profit and Loss Account, </w:t>
            </w:r>
          </w:p>
        </w:tc>
      </w:tr>
      <w:tr w:rsidR="00C83AFE" w:rsidRPr="00C83AFE" w14:paraId="55EF9B27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32AF9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849909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Cash Flow Statement; </w:t>
            </w:r>
          </w:p>
        </w:tc>
      </w:tr>
      <w:tr w:rsidR="00C83AFE" w:rsidRPr="00C83AFE" w14:paraId="5C6A0A7C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1FF970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B12876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Purpose of Financial Ratio Analysis; Liquidity Ratios; </w:t>
            </w:r>
          </w:p>
        </w:tc>
      </w:tr>
      <w:tr w:rsidR="00C83AFE" w:rsidRPr="00C83AFE" w14:paraId="30BDF675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12C28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7F70F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Efficiency or Activity Ratios; Profitability Ratios; Capital Structure Ratios; Stock Market Ratios; Limitations of Ratio Analysis.</w:t>
            </w:r>
          </w:p>
        </w:tc>
      </w:tr>
      <w:tr w:rsidR="00C83AFE" w:rsidRPr="00C83AFE" w14:paraId="56EF7766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A4B1A9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05AFE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Capital Budgeting: Meaning and Importance of Capital Budgeting;</w:t>
            </w:r>
          </w:p>
        </w:tc>
      </w:tr>
      <w:tr w:rsidR="00C83AFE" w:rsidRPr="00C83AFE" w14:paraId="2A3378A7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46C93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862482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 Inputs for Capital Budgeting Decisions; Investment Appraisal Criterion—Accounting Rate of Return,</w:t>
            </w:r>
          </w:p>
        </w:tc>
      </w:tr>
      <w:tr w:rsidR="00C83AFE" w:rsidRPr="00C83AFE" w14:paraId="548E24FF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86807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AB815A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 Payback Period, Discounted Payback Period,</w:t>
            </w:r>
          </w:p>
        </w:tc>
      </w:tr>
      <w:tr w:rsidR="00C83AFE" w:rsidRPr="00C83AFE" w14:paraId="7B4D7E03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E3987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61E9A7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 Net Present </w:t>
            </w:r>
            <w:proofErr w:type="gramStart"/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Value(</w:t>
            </w:r>
            <w:proofErr w:type="gramEnd"/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NPV), Profitability Index, </w:t>
            </w:r>
          </w:p>
        </w:tc>
      </w:tr>
      <w:tr w:rsidR="00C83AFE" w:rsidRPr="00C83AFE" w14:paraId="275AD29B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E82AD4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FFD06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Internal Rate of Return (IRR), and </w:t>
            </w:r>
          </w:p>
        </w:tc>
      </w:tr>
      <w:tr w:rsidR="00C83AFE" w:rsidRPr="00C83AFE" w14:paraId="7D1C2503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4E4EDC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443DB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Modified Internal Rate of Return (MIRR)</w:t>
            </w:r>
          </w:p>
        </w:tc>
      </w:tr>
      <w:tr w:rsidR="00C83AFE" w:rsidRPr="00C83AFE" w14:paraId="4DACFF08" w14:textId="77777777" w:rsidTr="00C83AFE">
        <w:trPr>
          <w:trHeight w:val="58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C4D90E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lastRenderedPageBreak/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C7B665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Working Capital Management: Concepts of Meaning Working Capital; Importance of Working Capital Management; </w:t>
            </w:r>
          </w:p>
        </w:tc>
      </w:tr>
      <w:tr w:rsidR="00C83AFE" w:rsidRPr="00C83AFE" w14:paraId="1AFA05D8" w14:textId="77777777" w:rsidTr="00C83AFE">
        <w:trPr>
          <w:trHeight w:val="58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0B48B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AFBC7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Factors Affecting an Entity’s Working Capital Needs; Estimation of Working Capital Requirements;</w:t>
            </w:r>
          </w:p>
        </w:tc>
      </w:tr>
      <w:tr w:rsidR="00C83AFE" w:rsidRPr="00C83AFE" w14:paraId="61D3C3E4" w14:textId="77777777" w:rsidTr="00C83AFE">
        <w:trPr>
          <w:trHeight w:val="58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EFAED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AD0634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 Management of Inventories; Management of Receivables; and Management of Cash and Marketable Securities</w:t>
            </w:r>
          </w:p>
        </w:tc>
      </w:tr>
      <w:tr w:rsidR="00C83AFE" w:rsidRPr="00C83AFE" w14:paraId="230D691B" w14:textId="77777777" w:rsidTr="00C83AFE">
        <w:trPr>
          <w:trHeight w:val="58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0EFB37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82A59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Sources of Finance: Long Term Sources—Equity, Debt, and </w:t>
            </w:r>
            <w:proofErr w:type="gramStart"/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Hybrids;  Concept</w:t>
            </w:r>
            <w:proofErr w:type="gramEnd"/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 of Optimal Capital Structure</w:t>
            </w:r>
          </w:p>
        </w:tc>
      </w:tr>
      <w:tr w:rsidR="00C83AFE" w:rsidRPr="00C83AFE" w14:paraId="21D4EDED" w14:textId="77777777" w:rsidTr="00C83AFE">
        <w:trPr>
          <w:trHeight w:val="58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86034E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39A0A7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Mezzanine Finance; Sources of </w:t>
            </w:r>
            <w:proofErr w:type="gramStart"/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Short Term</w:t>
            </w:r>
            <w:proofErr w:type="gramEnd"/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 Finance—Trade Credit, Bank Finance, Commercial Paper;</w:t>
            </w:r>
          </w:p>
        </w:tc>
      </w:tr>
      <w:tr w:rsidR="00C83AFE" w:rsidRPr="00C83AFE" w14:paraId="38F41BDB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86CFA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9580F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 Project Finance. Capital Structure: Factors Affecting an Entity’s Capital Structure; </w:t>
            </w:r>
          </w:p>
        </w:tc>
      </w:tr>
      <w:tr w:rsidR="00C83AFE" w:rsidRPr="00C83AFE" w14:paraId="118ED7E9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DD6ECA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FE0C5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Overview of Capital Structure Theories and Approaches— Net Income Approach, </w:t>
            </w:r>
          </w:p>
        </w:tc>
      </w:tr>
      <w:tr w:rsidR="00C83AFE" w:rsidRPr="00C83AFE" w14:paraId="0CB2AAF1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DC02A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C1DFC7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Net Operating Income Approach; Traditional Approach, and Modigliani-Miller Approach.</w:t>
            </w:r>
          </w:p>
        </w:tc>
      </w:tr>
      <w:tr w:rsidR="00C83AFE" w:rsidRPr="00C83AFE" w14:paraId="66D1ABE8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48444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2FEB1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 Relation between Capital Structure and Corporate Value;</w:t>
            </w:r>
          </w:p>
        </w:tc>
      </w:tr>
      <w:tr w:rsidR="00C83AFE" w:rsidRPr="00C83AFE" w14:paraId="3FB1B9EB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CDACB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26CB9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Dividend Policy: Meaning and Importance of Dividend Policy; </w:t>
            </w:r>
          </w:p>
        </w:tc>
      </w:tr>
      <w:tr w:rsidR="00C83AFE" w:rsidRPr="00C83AFE" w14:paraId="133B4DA8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63581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5421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Factors Affecting an Entity’s Dividend Decision; Overview of Dividend Policy Theories and Approaches—Gordon’s Approach,</w:t>
            </w:r>
          </w:p>
        </w:tc>
      </w:tr>
      <w:tr w:rsidR="00C83AFE" w:rsidRPr="00C83AFE" w14:paraId="68CA54DC" w14:textId="77777777" w:rsidTr="00C83AFE">
        <w:trPr>
          <w:trHeight w:val="290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EED70" w14:textId="77777777" w:rsidR="00C83AFE" w:rsidRPr="00C83AFE" w:rsidRDefault="00C83AFE" w:rsidP="00C83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1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7BF7F" w14:textId="77777777" w:rsidR="00C83AFE" w:rsidRPr="00C83AFE" w:rsidRDefault="00C83AFE" w:rsidP="00C83A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</w:rPr>
            </w:pPr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 Walter’s Approach, and </w:t>
            </w:r>
            <w:proofErr w:type="spellStart"/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>ModiglianiMiller</w:t>
            </w:r>
            <w:proofErr w:type="spellEnd"/>
            <w:r w:rsidRPr="00C83AFE">
              <w:rPr>
                <w:rFonts w:ascii="Calibri" w:eastAsia="Times New Roman" w:hAnsi="Calibri" w:cs="Calibri"/>
                <w:color w:val="000000"/>
                <w:szCs w:val="22"/>
              </w:rPr>
              <w:t xml:space="preserve"> Approach</w:t>
            </w:r>
          </w:p>
        </w:tc>
      </w:tr>
    </w:tbl>
    <w:p w14:paraId="59580252" w14:textId="77777777" w:rsidR="004B2C65" w:rsidRDefault="004B2C65"/>
    <w:sectPr w:rsidR="004B2C65" w:rsidSect="0093236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FE"/>
    <w:rsid w:val="004B2C65"/>
    <w:rsid w:val="006C6034"/>
    <w:rsid w:val="0093236D"/>
    <w:rsid w:val="00C8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E9EA7"/>
  <w15:chartTrackingRefBased/>
  <w15:docId w15:val="{0CED43D1-861A-4BB5-8913-4B0586ED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458</Words>
  <Characters>2615</Characters>
  <Application>Microsoft Office Word</Application>
  <DocSecurity>0</DocSecurity>
  <Lines>21</Lines>
  <Paragraphs>6</Paragraphs>
  <ScaleCrop>false</ScaleCrop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Ananya Tarase</dc:creator>
  <cp:keywords/>
  <dc:description/>
  <cp:lastModifiedBy>Ananya Tarase</cp:lastModifiedBy>
  <cp:revision>2</cp:revision>
  <dcterms:created xsi:type="dcterms:W3CDTF">2023-01-13T08:51:00Z</dcterms:created>
  <dcterms:modified xsi:type="dcterms:W3CDTF">2023-01-13T08:54:00Z</dcterms:modified>
</cp:coreProperties>
</file>